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D8" w:rsidRPr="00797FD8" w:rsidRDefault="00797FD8" w:rsidP="00797FD8">
      <w:pPr>
        <w:jc w:val="center"/>
        <w:rPr>
          <w:b/>
          <w:sz w:val="32"/>
          <w:szCs w:val="32"/>
          <w:lang w:val="uk-UA"/>
        </w:rPr>
      </w:pPr>
      <w:r w:rsidRPr="00797FD8">
        <w:rPr>
          <w:b/>
          <w:sz w:val="32"/>
          <w:szCs w:val="32"/>
          <w:lang w:val="uk-UA"/>
        </w:rPr>
        <w:t xml:space="preserve">Код ДК 021-2015 – 34940000-8 «Залізничне обладнання» </w:t>
      </w:r>
    </w:p>
    <w:p w:rsidR="000259B5" w:rsidRDefault="00797FD8" w:rsidP="00797FD8">
      <w:pPr>
        <w:jc w:val="center"/>
        <w:rPr>
          <w:b/>
          <w:sz w:val="32"/>
          <w:szCs w:val="32"/>
          <w:lang w:val="uk-UA"/>
        </w:rPr>
      </w:pPr>
      <w:r w:rsidRPr="00797FD8">
        <w:rPr>
          <w:b/>
          <w:sz w:val="28"/>
          <w:szCs w:val="28"/>
          <w:lang w:val="uk-UA"/>
        </w:rPr>
        <w:t>(</w:t>
      </w:r>
      <w:r w:rsidRPr="00797FD8">
        <w:rPr>
          <w:b/>
          <w:sz w:val="32"/>
          <w:szCs w:val="32"/>
          <w:lang w:val="uk-UA"/>
        </w:rPr>
        <w:t>Клема роздільного рейкового скріплення залізничної колії)</w:t>
      </w:r>
    </w:p>
    <w:p w:rsidR="00C26BB4" w:rsidRDefault="00C26BB4" w:rsidP="00797FD8">
      <w:pPr>
        <w:jc w:val="center"/>
        <w:rPr>
          <w:rFonts w:ascii="Times New Roman" w:hAnsi="Times New Roman"/>
          <w:lang w:val="uk-UA"/>
        </w:rPr>
      </w:pPr>
      <w:hyperlink r:id="rId5" w:history="1">
        <w:r w:rsidRPr="00C26BB4">
          <w:rPr>
            <w:rStyle w:val="a3"/>
            <w:rFonts w:ascii="Times New Roman" w:hAnsi="Times New Roman"/>
            <w:color w:val="auto"/>
            <w:shd w:val="clear" w:color="auto" w:fill="FFFFFF"/>
          </w:rPr>
          <w:t>UA-2021-07-23-006538-b</w:t>
        </w:r>
      </w:hyperlink>
    </w:p>
    <w:p w:rsidR="00C26BB4" w:rsidRPr="00C26BB4" w:rsidRDefault="00C26BB4" w:rsidP="00797FD8">
      <w:pPr>
        <w:jc w:val="center"/>
        <w:rPr>
          <w:rFonts w:ascii="Times New Roman" w:hAnsi="Times New Roman"/>
          <w:b/>
          <w:lang w:val="uk-UA"/>
        </w:rPr>
      </w:pPr>
      <w:bookmarkStart w:id="0" w:name="_GoBack"/>
      <w:bookmarkEnd w:id="0"/>
    </w:p>
    <w:tbl>
      <w:tblPr>
        <w:tblStyle w:val="a4"/>
        <w:tblW w:w="16126" w:type="dxa"/>
        <w:tblLook w:val="04A0" w:firstRow="1" w:lastRow="0" w:firstColumn="1" w:lastColumn="0" w:noHBand="0" w:noVBand="1"/>
      </w:tblPr>
      <w:tblGrid>
        <w:gridCol w:w="11165"/>
        <w:gridCol w:w="4961"/>
      </w:tblGrid>
      <w:tr w:rsidR="000259B5" w:rsidTr="0035388E">
        <w:tc>
          <w:tcPr>
            <w:tcW w:w="11165" w:type="dxa"/>
          </w:tcPr>
          <w:p w:rsidR="000259B5" w:rsidRDefault="000259B5" w:rsidP="000259B5">
            <w:pPr>
              <w:jc w:val="center"/>
              <w:rPr>
                <w:b/>
                <w:sz w:val="28"/>
                <w:szCs w:val="28"/>
                <w:lang w:val="uk-UA"/>
              </w:rPr>
            </w:pPr>
            <w:r w:rsidRPr="000259B5">
              <w:rPr>
                <w:b/>
                <w:sz w:val="28"/>
                <w:szCs w:val="28"/>
                <w:lang w:val="uk-UA"/>
              </w:rPr>
              <w:t>Вимоги Тендерної документації</w:t>
            </w:r>
          </w:p>
          <w:p w:rsidR="0035388E" w:rsidRPr="000259B5" w:rsidRDefault="0035388E" w:rsidP="000259B5">
            <w:pPr>
              <w:jc w:val="center"/>
              <w:rPr>
                <w:b/>
                <w:sz w:val="28"/>
                <w:szCs w:val="28"/>
                <w:lang w:val="uk-UA"/>
              </w:rPr>
            </w:pPr>
          </w:p>
        </w:tc>
        <w:tc>
          <w:tcPr>
            <w:tcW w:w="4961"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0259B5" w:rsidRPr="00C26BB4" w:rsidTr="0035388E">
        <w:tc>
          <w:tcPr>
            <w:tcW w:w="11165" w:type="dxa"/>
          </w:tcPr>
          <w:p w:rsidR="0035388E" w:rsidRDefault="0035388E" w:rsidP="000259B5">
            <w:pPr>
              <w:rPr>
                <w:sz w:val="22"/>
                <w:szCs w:val="22"/>
                <w:u w:val="single"/>
                <w:lang w:val="uk-UA"/>
              </w:rPr>
            </w:pPr>
          </w:p>
          <w:p w:rsidR="000259B5" w:rsidRPr="002F391C" w:rsidRDefault="000259B5" w:rsidP="000259B5">
            <w:pPr>
              <w:rPr>
                <w:sz w:val="22"/>
                <w:szCs w:val="22"/>
                <w:u w:val="single"/>
                <w:lang w:val="uk-UA"/>
              </w:rPr>
            </w:pPr>
            <w:r w:rsidRPr="002F391C">
              <w:rPr>
                <w:sz w:val="22"/>
                <w:szCs w:val="22"/>
                <w:u w:val="single"/>
                <w:lang w:val="uk-UA"/>
              </w:rPr>
              <w:t>Технічні характеристики</w:t>
            </w:r>
          </w:p>
          <w:p w:rsidR="000259B5" w:rsidRPr="002F391C" w:rsidRDefault="000259B5" w:rsidP="000259B5">
            <w:pPr>
              <w:rPr>
                <w:sz w:val="22"/>
                <w:szCs w:val="22"/>
                <w:lang w:val="uk-UA"/>
              </w:rPr>
            </w:pPr>
          </w:p>
          <w:p w:rsidR="00090930" w:rsidRDefault="00090930" w:rsidP="00090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alibri" w:hAnsi="Times New Roman"/>
                <w:b/>
                <w:i/>
                <w:lang w:val="uk-UA" w:eastAsia="en-US"/>
              </w:rPr>
            </w:pPr>
            <w:r>
              <w:rPr>
                <w:rFonts w:ascii="Times New Roman" w:eastAsia="Calibri" w:hAnsi="Times New Roman"/>
                <w:b/>
                <w:i/>
                <w:lang w:val="uk-UA" w:eastAsia="en-US"/>
              </w:rPr>
              <w:t>*Технічні характеристики на клему</w:t>
            </w:r>
            <w:r w:rsidRPr="0000091E">
              <w:rPr>
                <w:rFonts w:ascii="Times New Roman" w:eastAsia="Calibri" w:hAnsi="Times New Roman"/>
                <w:b/>
                <w:i/>
                <w:lang w:eastAsia="en-US"/>
              </w:rPr>
              <w:t xml:space="preserve"> </w:t>
            </w:r>
            <w:r w:rsidRPr="0000091E">
              <w:rPr>
                <w:rFonts w:ascii="Times New Roman" w:hAnsi="Times New Roman"/>
                <w:b/>
                <w:i/>
                <w:lang w:val="uk-UA"/>
              </w:rPr>
              <w:t>роздільного рейкового скріплення</w:t>
            </w:r>
            <w:r w:rsidRPr="0000091E">
              <w:rPr>
                <w:rFonts w:ascii="Times New Roman" w:eastAsia="Calibri" w:hAnsi="Times New Roman"/>
                <w:b/>
                <w:i/>
                <w:lang w:val="uk-UA" w:eastAsia="en-US"/>
              </w:rPr>
              <w:t xml:space="preserve"> :</w:t>
            </w:r>
          </w:p>
          <w:p w:rsidR="00090930" w:rsidRDefault="00090930" w:rsidP="000909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000000"/>
                <w:sz w:val="22"/>
                <w:szCs w:val="22"/>
                <w:lang w:val="uk-UA"/>
              </w:rPr>
            </w:pP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Клема роздільного рейкового скріплення залізничної колії використовується в роздільних рейкових скріпленнях для прикріплення рейок до залізобетонних і дерев’яних шпал.</w:t>
            </w:r>
            <w:r w:rsidRPr="005B7D32">
              <w:rPr>
                <w:bCs/>
                <w:sz w:val="22"/>
                <w:szCs w:val="22"/>
                <w:lang w:val="uk-UA"/>
              </w:rPr>
              <w:tab/>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Конструкція та розміри товару повинні відповідати вимогам ГОСТ 22343-90 та нормативно-технічній документації виробника, згідно якої виготовляється товар.</w:t>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Виріб виготовляють методом розрізання прокату із сталі марок Ст4кп, Ст4пс, Ст4сп по ДСТУ2651:2005.</w:t>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Приклад умовного позначення клеми: Клема ПК.</w:t>
            </w:r>
          </w:p>
          <w:p w:rsidR="00090930" w:rsidRPr="005B7D32" w:rsidRDefault="00090930" w:rsidP="00090930">
            <w:pPr>
              <w:widowControl w:val="0"/>
              <w:ind w:firstLine="567"/>
              <w:contextualSpacing/>
              <w:jc w:val="both"/>
              <w:rPr>
                <w:bCs/>
                <w:sz w:val="22"/>
                <w:szCs w:val="22"/>
                <w:lang w:val="uk-UA"/>
              </w:rPr>
            </w:pPr>
            <w:r w:rsidRPr="005B7D32">
              <w:rPr>
                <w:bCs/>
                <w:sz w:val="22"/>
                <w:szCs w:val="22"/>
                <w:lang w:val="uk-UA"/>
              </w:rPr>
              <w:t xml:space="preserve">Конструкція клеми наведена на Рис. 1. </w:t>
            </w:r>
          </w:p>
          <w:p w:rsidR="00090930" w:rsidRPr="005B7D32" w:rsidRDefault="00090930" w:rsidP="00090930">
            <w:pPr>
              <w:widowControl w:val="0"/>
              <w:ind w:firstLine="709"/>
              <w:contextualSpacing/>
              <w:jc w:val="both"/>
              <w:rPr>
                <w:bCs/>
                <w:sz w:val="22"/>
                <w:szCs w:val="22"/>
                <w:lang w:val="uk-UA"/>
              </w:rPr>
            </w:pPr>
          </w:p>
          <w:p w:rsidR="00090930" w:rsidRPr="005B7D32" w:rsidRDefault="00090930" w:rsidP="00090930">
            <w:pPr>
              <w:widowControl w:val="0"/>
              <w:tabs>
                <w:tab w:val="left" w:pos="3021"/>
              </w:tabs>
              <w:spacing w:line="0" w:lineRule="atLeast"/>
              <w:ind w:firstLine="426"/>
              <w:jc w:val="both"/>
              <w:rPr>
                <w:rFonts w:eastAsia="Calibri"/>
                <w:sz w:val="22"/>
                <w:szCs w:val="22"/>
                <w:lang w:val="uk-UA" w:eastAsia="en-US"/>
              </w:rPr>
            </w:pPr>
            <w:r w:rsidRPr="005B7D32">
              <w:rPr>
                <w:rFonts w:eastAsia="Calibri"/>
                <w:sz w:val="22"/>
                <w:szCs w:val="22"/>
                <w:lang w:val="uk-UA" w:eastAsia="en-US"/>
              </w:rPr>
              <w:t xml:space="preserve"> </w:t>
            </w:r>
            <w:r w:rsidRPr="005B7D32">
              <w:rPr>
                <w:rFonts w:eastAsia="Calibri"/>
                <w:noProof/>
                <w:sz w:val="22"/>
                <w:szCs w:val="22"/>
              </w:rPr>
              <w:drawing>
                <wp:inline distT="0" distB="0" distL="0" distR="0" wp14:anchorId="7C0AE563" wp14:editId="490F1122">
                  <wp:extent cx="4514850" cy="351477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5899" cy="3515588"/>
                          </a:xfrm>
                          <a:prstGeom prst="rect">
                            <a:avLst/>
                          </a:prstGeom>
                          <a:noFill/>
                          <a:ln>
                            <a:noFill/>
                          </a:ln>
                        </pic:spPr>
                      </pic:pic>
                    </a:graphicData>
                  </a:graphic>
                </wp:inline>
              </w:drawing>
            </w:r>
          </w:p>
          <w:p w:rsidR="00090930" w:rsidRPr="005B7D32" w:rsidRDefault="00090930" w:rsidP="00090930">
            <w:pPr>
              <w:spacing w:line="0" w:lineRule="atLeast"/>
              <w:jc w:val="both"/>
              <w:rPr>
                <w:rFonts w:eastAsia="Calibri"/>
                <w:sz w:val="22"/>
                <w:szCs w:val="22"/>
                <w:lang w:val="uk-UA" w:eastAsia="en-US"/>
              </w:rPr>
            </w:pPr>
            <w:r w:rsidRPr="005B7D32">
              <w:rPr>
                <w:rFonts w:eastAsia="Calibri"/>
                <w:sz w:val="22"/>
                <w:szCs w:val="22"/>
                <w:lang w:val="uk-UA" w:eastAsia="en-US"/>
              </w:rPr>
              <w:t>*   - розміри для довідок</w:t>
            </w:r>
          </w:p>
          <w:p w:rsidR="00090930" w:rsidRPr="005B7D32" w:rsidRDefault="00090930" w:rsidP="00090930">
            <w:pPr>
              <w:spacing w:line="0" w:lineRule="atLeast"/>
              <w:jc w:val="both"/>
              <w:rPr>
                <w:rFonts w:eastAsia="Calibri"/>
                <w:sz w:val="22"/>
                <w:szCs w:val="22"/>
                <w:lang w:val="uk-UA" w:eastAsia="en-US"/>
              </w:rPr>
            </w:pPr>
            <w:r w:rsidRPr="005B7D32">
              <w:rPr>
                <w:rFonts w:eastAsia="Calibri"/>
                <w:sz w:val="22"/>
                <w:szCs w:val="22"/>
                <w:lang w:val="uk-UA" w:eastAsia="en-US"/>
              </w:rPr>
              <w:lastRenderedPageBreak/>
              <w:t>Рис. 1  Клема роздільного рейкового скріплення</w:t>
            </w:r>
          </w:p>
          <w:p w:rsidR="00090930" w:rsidRPr="005B7D32" w:rsidRDefault="00090930" w:rsidP="00090930">
            <w:pPr>
              <w:ind w:firstLine="426"/>
              <w:contextualSpacing/>
              <w:jc w:val="both"/>
              <w:rPr>
                <w:rFonts w:eastAsia="Calibri"/>
                <w:b/>
                <w:i/>
                <w:sz w:val="22"/>
                <w:szCs w:val="22"/>
                <w:lang w:val="uk-UA" w:eastAsia="en-US"/>
              </w:rPr>
            </w:pPr>
          </w:p>
          <w:p w:rsidR="00090930" w:rsidRPr="005B7D32" w:rsidRDefault="00090930" w:rsidP="00090930">
            <w:pPr>
              <w:ind w:firstLine="426"/>
              <w:contextualSpacing/>
              <w:jc w:val="both"/>
              <w:rPr>
                <w:rFonts w:eastAsia="Calibri"/>
                <w:sz w:val="22"/>
                <w:szCs w:val="22"/>
                <w:lang w:val="uk-UA" w:eastAsia="en-US"/>
              </w:rPr>
            </w:pP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 xml:space="preserve">Поверхні прилягання клеми до підошви рейки і підкладки повинні бути рівними. Допускається рівномірна подовжня опуклість поверхні прилягання клеми до підошви рейки і підкладки величиною не більше </w:t>
            </w:r>
            <w:smartTag w:uri="urn:schemas-microsoft-com:office:smarttags" w:element="metricconverter">
              <w:smartTagPr>
                <w:attr w:name="ProductID" w:val="1,0 мм"/>
              </w:smartTagPr>
              <w:r w:rsidRPr="005B7D32">
                <w:rPr>
                  <w:rFonts w:eastAsia="Calibri"/>
                  <w:sz w:val="22"/>
                  <w:szCs w:val="22"/>
                  <w:lang w:val="uk-UA" w:eastAsia="en-US"/>
                </w:rPr>
                <w:t xml:space="preserve">1,0 </w:t>
              </w:r>
              <w:r w:rsidRPr="005B7D32">
                <w:rPr>
                  <w:rFonts w:eastAsia="Calibri"/>
                  <w:iCs/>
                  <w:sz w:val="22"/>
                  <w:szCs w:val="22"/>
                  <w:lang w:val="uk-UA" w:eastAsia="en-US"/>
                </w:rPr>
                <w:t>мм</w:t>
              </w:r>
            </w:smartTag>
            <w:r w:rsidRPr="005B7D32">
              <w:rPr>
                <w:rFonts w:eastAsia="Calibri"/>
                <w:sz w:val="22"/>
                <w:szCs w:val="22"/>
                <w:lang w:val="uk-UA" w:eastAsia="en-US"/>
              </w:rPr>
              <w:t>. Увігнутість поверхні прилягання клеми до підошви рейки і підкладки не допускається.</w:t>
            </w: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 xml:space="preserve">На поверхні клеми не допускаються тріщини, </w:t>
            </w:r>
            <w:proofErr w:type="spellStart"/>
            <w:r w:rsidRPr="005B7D32">
              <w:rPr>
                <w:rFonts w:eastAsia="Calibri"/>
                <w:sz w:val="22"/>
                <w:szCs w:val="22"/>
                <w:lang w:val="uk-UA" w:eastAsia="en-US"/>
              </w:rPr>
              <w:t>закати</w:t>
            </w:r>
            <w:proofErr w:type="spellEnd"/>
            <w:r w:rsidRPr="005B7D32">
              <w:rPr>
                <w:rFonts w:eastAsia="Calibri"/>
                <w:sz w:val="22"/>
                <w:szCs w:val="22"/>
                <w:lang w:val="uk-UA" w:eastAsia="en-US"/>
              </w:rPr>
              <w:t xml:space="preserve"> та інші поверхневі дефекти глибиною більше </w:t>
            </w:r>
            <w:smartTag w:uri="urn:schemas-microsoft-com:office:smarttags" w:element="metricconverter">
              <w:smartTagPr>
                <w:attr w:name="ProductID" w:val="1,0 мм"/>
              </w:smartTagPr>
              <w:r w:rsidRPr="005B7D32">
                <w:rPr>
                  <w:rFonts w:eastAsia="Calibri"/>
                  <w:sz w:val="22"/>
                  <w:szCs w:val="22"/>
                  <w:lang w:val="uk-UA" w:eastAsia="en-US"/>
                </w:rPr>
                <w:t xml:space="preserve">1,0 </w:t>
              </w:r>
              <w:r w:rsidRPr="005B7D32">
                <w:rPr>
                  <w:rFonts w:eastAsia="Calibri"/>
                  <w:iCs/>
                  <w:sz w:val="22"/>
                  <w:szCs w:val="22"/>
                  <w:lang w:val="uk-UA" w:eastAsia="en-US"/>
                </w:rPr>
                <w:t>мм</w:t>
              </w:r>
            </w:smartTag>
            <w:r w:rsidRPr="005B7D32">
              <w:rPr>
                <w:rFonts w:eastAsia="Calibri"/>
                <w:sz w:val="22"/>
                <w:szCs w:val="22"/>
                <w:lang w:val="uk-UA" w:eastAsia="en-US"/>
              </w:rPr>
              <w:t xml:space="preserve">. Не допускається слід від пуансона на перетині вертикальної та горизонтальної  </w:t>
            </w:r>
            <w:proofErr w:type="spellStart"/>
            <w:r w:rsidRPr="005B7D32">
              <w:rPr>
                <w:rFonts w:eastAsia="Calibri"/>
                <w:sz w:val="22"/>
                <w:szCs w:val="22"/>
                <w:lang w:val="uk-UA" w:eastAsia="en-US"/>
              </w:rPr>
              <w:t>площин</w:t>
            </w:r>
            <w:proofErr w:type="spellEnd"/>
            <w:r w:rsidRPr="005B7D32">
              <w:rPr>
                <w:rFonts w:eastAsia="Calibri"/>
                <w:sz w:val="22"/>
                <w:szCs w:val="22"/>
                <w:lang w:val="uk-UA" w:eastAsia="en-US"/>
              </w:rPr>
              <w:t xml:space="preserve"> клеми біля отвору з боку продавлювання. Поверхні торців клеми й отворів для клемних болтів не повинні мати слідів усадки у вигляді </w:t>
            </w:r>
            <w:proofErr w:type="spellStart"/>
            <w:r w:rsidRPr="005B7D32">
              <w:rPr>
                <w:rFonts w:eastAsia="Calibri"/>
                <w:sz w:val="22"/>
                <w:szCs w:val="22"/>
                <w:lang w:val="uk-UA" w:eastAsia="en-US"/>
              </w:rPr>
              <w:t>тріщин</w:t>
            </w:r>
            <w:proofErr w:type="spellEnd"/>
            <w:r w:rsidRPr="005B7D32">
              <w:rPr>
                <w:rFonts w:eastAsia="Calibri"/>
                <w:sz w:val="22"/>
                <w:szCs w:val="22"/>
                <w:lang w:val="uk-UA" w:eastAsia="en-US"/>
              </w:rPr>
              <w:t>-розщеплень.</w:t>
            </w: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 xml:space="preserve">Поверхні торців клеми повинні бути перпендикулярні до подовжньої осі. </w:t>
            </w:r>
            <w:proofErr w:type="spellStart"/>
            <w:r w:rsidRPr="005B7D32">
              <w:rPr>
                <w:rFonts w:eastAsia="Calibri"/>
                <w:sz w:val="22"/>
                <w:szCs w:val="22"/>
                <w:lang w:val="uk-UA" w:eastAsia="en-US"/>
              </w:rPr>
              <w:t>Неперпендикулярність</w:t>
            </w:r>
            <w:proofErr w:type="spellEnd"/>
            <w:r w:rsidRPr="005B7D32">
              <w:rPr>
                <w:rFonts w:eastAsia="Calibri"/>
                <w:sz w:val="22"/>
                <w:szCs w:val="22"/>
                <w:lang w:val="uk-UA" w:eastAsia="en-US"/>
              </w:rPr>
              <w:t xml:space="preserve"> різу в горизонтальній та вертикальній </w:t>
            </w:r>
            <w:proofErr w:type="spellStart"/>
            <w:r w:rsidRPr="005B7D32">
              <w:rPr>
                <w:rFonts w:eastAsia="Calibri"/>
                <w:sz w:val="22"/>
                <w:szCs w:val="22"/>
                <w:lang w:val="uk-UA" w:eastAsia="en-US"/>
              </w:rPr>
              <w:t>площинах</w:t>
            </w:r>
            <w:proofErr w:type="spellEnd"/>
            <w:r w:rsidRPr="005B7D32">
              <w:rPr>
                <w:rFonts w:eastAsia="Calibri"/>
                <w:sz w:val="22"/>
                <w:szCs w:val="22"/>
                <w:lang w:val="uk-UA" w:eastAsia="en-US"/>
              </w:rPr>
              <w:t xml:space="preserve"> клеми не повинна перевищувати 3,0 </w:t>
            </w:r>
            <w:r w:rsidRPr="005B7D32">
              <w:rPr>
                <w:rFonts w:eastAsia="Calibri"/>
                <w:iCs/>
                <w:sz w:val="22"/>
                <w:szCs w:val="22"/>
                <w:lang w:val="uk-UA" w:eastAsia="en-US"/>
              </w:rPr>
              <w:t>мм</w:t>
            </w:r>
            <w:r w:rsidRPr="005B7D32">
              <w:rPr>
                <w:rFonts w:eastAsia="Calibri"/>
                <w:sz w:val="22"/>
                <w:szCs w:val="22"/>
                <w:lang w:val="uk-UA" w:eastAsia="en-US"/>
              </w:rPr>
              <w:t>.</w:t>
            </w:r>
          </w:p>
          <w:p w:rsidR="00090930" w:rsidRPr="005B7D32" w:rsidRDefault="00090930" w:rsidP="00090930">
            <w:pPr>
              <w:widowControl w:val="0"/>
              <w:spacing w:after="160"/>
              <w:ind w:firstLine="567"/>
              <w:contextualSpacing/>
              <w:jc w:val="both"/>
              <w:rPr>
                <w:rFonts w:eastAsia="Calibri"/>
                <w:sz w:val="22"/>
                <w:szCs w:val="22"/>
                <w:lang w:val="uk-UA" w:eastAsia="en-US"/>
              </w:rPr>
            </w:pPr>
          </w:p>
          <w:p w:rsidR="00090930" w:rsidRPr="005B7D32" w:rsidRDefault="00090930" w:rsidP="00090930">
            <w:pPr>
              <w:widowControl w:val="0"/>
              <w:spacing w:after="160"/>
              <w:ind w:firstLine="567"/>
              <w:contextualSpacing/>
              <w:jc w:val="both"/>
              <w:rPr>
                <w:rFonts w:eastAsia="Calibri"/>
                <w:sz w:val="22"/>
                <w:szCs w:val="22"/>
                <w:lang w:val="uk-UA" w:eastAsia="en-US"/>
              </w:rPr>
            </w:pPr>
            <w:r w:rsidRPr="005B7D32">
              <w:rPr>
                <w:rFonts w:eastAsia="Calibri"/>
                <w:sz w:val="22"/>
                <w:szCs w:val="22"/>
                <w:lang w:val="uk-UA" w:eastAsia="en-US"/>
              </w:rPr>
              <w:t>У разі якщо Тендерна документація  містить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вважається, що Тендерна документація при такому посиланні містить вираз «або еквівалент».</w:t>
            </w:r>
          </w:p>
          <w:p w:rsidR="00090930" w:rsidRPr="009D6709" w:rsidRDefault="00090930" w:rsidP="00090930">
            <w:pPr>
              <w:widowControl w:val="0"/>
              <w:spacing w:after="160"/>
              <w:ind w:firstLine="567"/>
              <w:contextualSpacing/>
              <w:jc w:val="both"/>
              <w:rPr>
                <w:rFonts w:eastAsia="Calibri"/>
                <w:sz w:val="28"/>
                <w:szCs w:val="22"/>
                <w:lang w:val="uk-UA" w:eastAsia="en-US"/>
              </w:rPr>
            </w:pPr>
            <w:r w:rsidRPr="005B7D32">
              <w:rPr>
                <w:rFonts w:eastAsia="Calibri"/>
                <w:sz w:val="22"/>
                <w:szCs w:val="22"/>
                <w:lang w:val="uk-UA" w:eastAsia="en-US"/>
              </w:rPr>
              <w:t>У разі якщо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Тендерна документація при такому посиланні містить вираз «або еквівалент».</w:t>
            </w:r>
          </w:p>
          <w:p w:rsidR="00797FD8" w:rsidRPr="0000091E" w:rsidRDefault="00797FD8" w:rsidP="00797FD8">
            <w:pPr>
              <w:spacing w:line="0" w:lineRule="atLeast"/>
              <w:jc w:val="both"/>
              <w:rPr>
                <w:sz w:val="22"/>
                <w:szCs w:val="22"/>
                <w:lang w:val="uk-UA"/>
              </w:rPr>
            </w:pPr>
          </w:p>
          <w:p w:rsidR="00797FD8" w:rsidRPr="002F391C" w:rsidRDefault="00797FD8" w:rsidP="00797FD8">
            <w:pPr>
              <w:ind w:firstLine="709"/>
              <w:jc w:val="both"/>
              <w:rPr>
                <w:sz w:val="22"/>
                <w:szCs w:val="22"/>
                <w:lang w:val="uk-UA"/>
              </w:rPr>
            </w:pPr>
          </w:p>
          <w:p w:rsidR="000259B5" w:rsidRPr="002F391C" w:rsidRDefault="000259B5" w:rsidP="0035388E">
            <w:pPr>
              <w:ind w:firstLine="709"/>
              <w:jc w:val="both"/>
              <w:rPr>
                <w:sz w:val="22"/>
                <w:szCs w:val="22"/>
                <w:lang w:val="uk-UA"/>
              </w:rPr>
            </w:pPr>
          </w:p>
        </w:tc>
        <w:tc>
          <w:tcPr>
            <w:tcW w:w="4961" w:type="dxa"/>
          </w:tcPr>
          <w:p w:rsidR="000259B5" w:rsidRPr="002F391C" w:rsidRDefault="000259B5" w:rsidP="000259B5">
            <w:pPr>
              <w:rPr>
                <w:sz w:val="22"/>
                <w:szCs w:val="22"/>
                <w:lang w:val="uk-UA"/>
              </w:rPr>
            </w:pPr>
          </w:p>
          <w:p w:rsidR="000259B5" w:rsidRPr="002F391C" w:rsidRDefault="000259B5" w:rsidP="000259B5">
            <w:pPr>
              <w:rPr>
                <w:sz w:val="22"/>
                <w:szCs w:val="22"/>
                <w:lang w:val="uk-UA"/>
              </w:rPr>
            </w:pPr>
          </w:p>
          <w:p w:rsidR="000259B5" w:rsidRPr="00671B8F" w:rsidRDefault="000259B5" w:rsidP="00312F2D">
            <w:pPr>
              <w:ind w:right="34"/>
              <w:jc w:val="both"/>
              <w:rPr>
                <w:sz w:val="22"/>
                <w:szCs w:val="22"/>
                <w:lang w:val="uk-UA"/>
              </w:rPr>
            </w:pPr>
            <w:r w:rsidRPr="002F391C">
              <w:rPr>
                <w:rFonts w:ascii="Times New Roman" w:hAnsi="Times New Roman"/>
                <w:sz w:val="22"/>
                <w:szCs w:val="22"/>
                <w:lang w:val="uk-UA"/>
              </w:rPr>
              <w:t>Згідно</w:t>
            </w:r>
            <w:r w:rsidR="00EA6244" w:rsidRPr="002F391C">
              <w:rPr>
                <w:rFonts w:ascii="Times New Roman" w:hAnsi="Times New Roman"/>
                <w:sz w:val="22"/>
                <w:szCs w:val="22"/>
                <w:lang w:val="uk-UA"/>
              </w:rPr>
              <w:t xml:space="preserve"> з</w:t>
            </w:r>
            <w:r w:rsidRPr="002F391C">
              <w:rPr>
                <w:rFonts w:ascii="Times New Roman" w:hAnsi="Times New Roman"/>
                <w:sz w:val="22"/>
                <w:szCs w:val="22"/>
                <w:lang w:val="uk-UA"/>
              </w:rPr>
              <w:t xml:space="preserve"> „Інструкці</w:t>
            </w:r>
            <w:r w:rsidR="00EA6244" w:rsidRPr="002F391C">
              <w:rPr>
                <w:rFonts w:ascii="Times New Roman" w:hAnsi="Times New Roman"/>
                <w:sz w:val="22"/>
                <w:szCs w:val="22"/>
                <w:lang w:val="uk-UA"/>
              </w:rPr>
              <w:t>єю</w:t>
            </w:r>
            <w:r w:rsidRPr="002F391C">
              <w:rPr>
                <w:rFonts w:ascii="Times New Roman" w:hAnsi="Times New Roman"/>
                <w:sz w:val="22"/>
                <w:szCs w:val="22"/>
                <w:lang w:val="uk-UA"/>
              </w:rPr>
              <w:t xml:space="preserve"> з улаштування та утримання колії залізниць України” ЦП-0269, затвердженої наказом Укрзалізниці від 01.03.2012 </w:t>
            </w:r>
            <w:r w:rsidR="00CB3832">
              <w:rPr>
                <w:rFonts w:ascii="Times New Roman" w:hAnsi="Times New Roman"/>
                <w:sz w:val="22"/>
                <w:szCs w:val="22"/>
                <w:lang w:val="uk-UA"/>
              </w:rPr>
              <w:t>№ </w:t>
            </w:r>
            <w:r w:rsidRPr="002F391C">
              <w:rPr>
                <w:rFonts w:ascii="Times New Roman" w:hAnsi="Times New Roman"/>
                <w:sz w:val="22"/>
                <w:szCs w:val="22"/>
                <w:lang w:val="uk-UA"/>
              </w:rPr>
              <w:t>072-Ц</w:t>
            </w:r>
          </w:p>
        </w:tc>
      </w:tr>
      <w:tr w:rsidR="000259B5" w:rsidRPr="00C26BB4" w:rsidTr="0035388E">
        <w:tc>
          <w:tcPr>
            <w:tcW w:w="11165" w:type="dxa"/>
          </w:tcPr>
          <w:p w:rsidR="000259B5" w:rsidRPr="002F391C" w:rsidRDefault="000259B5" w:rsidP="000259B5">
            <w:pPr>
              <w:rPr>
                <w:sz w:val="22"/>
                <w:szCs w:val="22"/>
                <w:u w:val="single"/>
                <w:lang w:val="uk-UA"/>
              </w:rPr>
            </w:pPr>
            <w:r w:rsidRPr="002F391C">
              <w:rPr>
                <w:sz w:val="22"/>
                <w:szCs w:val="22"/>
                <w:u w:val="single"/>
                <w:lang w:val="uk-UA"/>
              </w:rPr>
              <w:lastRenderedPageBreak/>
              <w:t>Якісні характеристики</w:t>
            </w:r>
          </w:p>
          <w:p w:rsidR="00EA6244" w:rsidRDefault="00EA6244" w:rsidP="0035388E">
            <w:pPr>
              <w:ind w:right="360"/>
              <w:jc w:val="both"/>
              <w:rPr>
                <w:sz w:val="22"/>
                <w:szCs w:val="22"/>
                <w:lang w:val="uk-UA"/>
              </w:rPr>
            </w:pPr>
          </w:p>
          <w:p w:rsidR="0035388E" w:rsidRPr="002F391C" w:rsidRDefault="0035388E" w:rsidP="0035388E">
            <w:pPr>
              <w:ind w:right="360"/>
              <w:jc w:val="both"/>
              <w:rPr>
                <w:sz w:val="22"/>
                <w:szCs w:val="22"/>
                <w:lang w:val="uk-UA"/>
              </w:rPr>
            </w:pPr>
            <w:r>
              <w:rPr>
                <w:sz w:val="22"/>
                <w:szCs w:val="22"/>
                <w:lang w:val="uk-UA"/>
              </w:rPr>
              <w:t xml:space="preserve">Відповідно </w:t>
            </w:r>
            <w:r w:rsidR="005436E8">
              <w:rPr>
                <w:rFonts w:ascii="Times New Roman" w:hAnsi="Times New Roman"/>
                <w:color w:val="000000"/>
                <w:lang w:val="uk-UA"/>
              </w:rPr>
              <w:t>ГОСТ 22343-90</w:t>
            </w:r>
          </w:p>
        </w:tc>
        <w:tc>
          <w:tcPr>
            <w:tcW w:w="4961" w:type="dxa"/>
          </w:tcPr>
          <w:p w:rsidR="00EA6244" w:rsidRPr="002F391C" w:rsidRDefault="009B1DFD" w:rsidP="0035388E">
            <w:pPr>
              <w:rPr>
                <w:sz w:val="22"/>
                <w:szCs w:val="22"/>
                <w:lang w:val="uk-UA"/>
              </w:rPr>
            </w:pPr>
            <w:r w:rsidRPr="002F391C">
              <w:rPr>
                <w:rFonts w:ascii="Times New Roman" w:hAnsi="Times New Roman"/>
                <w:sz w:val="22"/>
                <w:szCs w:val="22"/>
                <w:lang w:val="uk-UA"/>
              </w:rPr>
              <w:t xml:space="preserve">Згідно з „Інструкцією з улаштування та утримання колії залізниць України” ЦП-0269, затвердженої наказом Укрзалізниці від 01.03.2012 </w:t>
            </w:r>
            <w:r>
              <w:rPr>
                <w:rFonts w:ascii="Times New Roman" w:hAnsi="Times New Roman"/>
                <w:sz w:val="22"/>
                <w:szCs w:val="22"/>
                <w:lang w:val="uk-UA"/>
              </w:rPr>
              <w:t>№ </w:t>
            </w:r>
            <w:r w:rsidRPr="002F391C">
              <w:rPr>
                <w:rFonts w:ascii="Times New Roman" w:hAnsi="Times New Roman"/>
                <w:sz w:val="22"/>
                <w:szCs w:val="22"/>
                <w:lang w:val="uk-UA"/>
              </w:rPr>
              <w:t>072-Ц</w:t>
            </w:r>
          </w:p>
        </w:tc>
      </w:tr>
      <w:tr w:rsidR="000259B5" w:rsidRPr="002F391C" w:rsidTr="0035388E">
        <w:trPr>
          <w:trHeight w:val="1003"/>
        </w:trPr>
        <w:tc>
          <w:tcPr>
            <w:tcW w:w="11165"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EA6244" w:rsidRPr="002F391C" w:rsidRDefault="00A33410" w:rsidP="000259B5">
            <w:pPr>
              <w:rPr>
                <w:sz w:val="22"/>
                <w:szCs w:val="22"/>
                <w:lang w:val="uk-UA"/>
              </w:rPr>
            </w:pPr>
            <w:r>
              <w:rPr>
                <w:rFonts w:ascii="Times New Roman" w:hAnsi="Times New Roman"/>
                <w:color w:val="000000"/>
                <w:sz w:val="22"/>
                <w:szCs w:val="22"/>
                <w:lang w:val="uk-UA"/>
              </w:rPr>
              <w:t>2 543 640,00</w:t>
            </w:r>
            <w:r w:rsidR="0035388E" w:rsidRPr="001F1FD4">
              <w:rPr>
                <w:rFonts w:ascii="Times New Roman" w:hAnsi="Times New Roman"/>
                <w:color w:val="000000"/>
                <w:sz w:val="22"/>
                <w:szCs w:val="22"/>
                <w:lang w:val="uk-UA"/>
              </w:rPr>
              <w:t xml:space="preserve"> </w:t>
            </w:r>
            <w:r w:rsidR="00EA6244" w:rsidRPr="002F391C">
              <w:rPr>
                <w:rFonts w:ascii="Times New Roman" w:hAnsi="Times New Roman"/>
                <w:color w:val="000000"/>
                <w:sz w:val="22"/>
                <w:szCs w:val="22"/>
                <w:lang w:val="uk-UA"/>
              </w:rPr>
              <w:t>грн</w:t>
            </w:r>
            <w:r w:rsidR="00CC0872">
              <w:rPr>
                <w:rFonts w:ascii="Times New Roman" w:hAnsi="Times New Roman"/>
                <w:color w:val="000000"/>
                <w:sz w:val="22"/>
                <w:szCs w:val="22"/>
                <w:lang w:val="uk-UA"/>
              </w:rPr>
              <w:t>.</w:t>
            </w:r>
            <w:r w:rsidR="00EA6244" w:rsidRPr="002F391C">
              <w:rPr>
                <w:rFonts w:ascii="Times New Roman" w:hAnsi="Times New Roman"/>
                <w:color w:val="000000"/>
                <w:sz w:val="22"/>
                <w:szCs w:val="22"/>
                <w:lang w:val="uk-UA"/>
              </w:rPr>
              <w:t xml:space="preserve"> з ПДВ</w:t>
            </w:r>
          </w:p>
          <w:p w:rsidR="00EA6244" w:rsidRPr="002F391C" w:rsidRDefault="00EA6244" w:rsidP="000259B5">
            <w:pPr>
              <w:rPr>
                <w:sz w:val="22"/>
                <w:szCs w:val="22"/>
                <w:lang w:val="uk-UA"/>
              </w:rPr>
            </w:pPr>
          </w:p>
        </w:tc>
        <w:tc>
          <w:tcPr>
            <w:tcW w:w="4961" w:type="dxa"/>
          </w:tcPr>
          <w:p w:rsidR="0035388E" w:rsidRDefault="00EA6244" w:rsidP="00EA6244">
            <w:pPr>
              <w:rPr>
                <w:sz w:val="22"/>
                <w:szCs w:val="22"/>
                <w:lang w:val="uk-UA"/>
              </w:rPr>
            </w:pPr>
            <w:r w:rsidRPr="002F391C">
              <w:rPr>
                <w:sz w:val="22"/>
                <w:szCs w:val="22"/>
                <w:lang w:val="uk-UA"/>
              </w:rPr>
              <w:t xml:space="preserve">За результатами маркетингового дослідження ринку, вартісних показників останньої закупівлі та на виконання вимог наказу від 26.02.2016 </w:t>
            </w:r>
          </w:p>
          <w:p w:rsidR="000259B5" w:rsidRPr="002F391C" w:rsidRDefault="00EA6244" w:rsidP="00EA6244">
            <w:pPr>
              <w:rPr>
                <w:sz w:val="22"/>
                <w:szCs w:val="22"/>
                <w:lang w:val="uk-UA"/>
              </w:rPr>
            </w:pPr>
            <w:r w:rsidRPr="002F391C">
              <w:rPr>
                <w:sz w:val="22"/>
                <w:szCs w:val="22"/>
                <w:lang w:val="uk-UA"/>
              </w:rPr>
              <w:t>№ 107 Ц</w:t>
            </w:r>
          </w:p>
        </w:tc>
      </w:tr>
    </w:tbl>
    <w:p w:rsidR="000259B5" w:rsidRDefault="000259B5" w:rsidP="000259B5">
      <w:pPr>
        <w:rPr>
          <w:sz w:val="22"/>
          <w:szCs w:val="22"/>
          <w:lang w:val="uk-UA"/>
        </w:rPr>
      </w:pPr>
    </w:p>
    <w:p w:rsidR="009B1DFD" w:rsidRDefault="009B1DFD" w:rsidP="000259B5">
      <w:pPr>
        <w:rPr>
          <w:sz w:val="22"/>
          <w:szCs w:val="22"/>
          <w:lang w:val="uk-UA"/>
        </w:rPr>
      </w:pPr>
    </w:p>
    <w:p w:rsidR="009B1DFD" w:rsidRDefault="009B1DFD" w:rsidP="000259B5">
      <w:pPr>
        <w:rPr>
          <w:sz w:val="22"/>
          <w:szCs w:val="22"/>
          <w:lang w:val="uk-UA"/>
        </w:rPr>
      </w:pPr>
    </w:p>
    <w:p w:rsidR="009B1DFD" w:rsidRDefault="009B1DFD" w:rsidP="009B1DFD">
      <w:pPr>
        <w:rPr>
          <w:sz w:val="22"/>
          <w:szCs w:val="22"/>
          <w:lang w:val="uk-UA"/>
        </w:rPr>
      </w:pPr>
    </w:p>
    <w:sectPr w:rsidR="009B1DFD" w:rsidSect="009718F3">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90930"/>
    <w:rsid w:val="002F391C"/>
    <w:rsid w:val="00312F2D"/>
    <w:rsid w:val="0035388E"/>
    <w:rsid w:val="005436E8"/>
    <w:rsid w:val="00671B8F"/>
    <w:rsid w:val="006E5AAF"/>
    <w:rsid w:val="00797FD8"/>
    <w:rsid w:val="00950AB6"/>
    <w:rsid w:val="009718F3"/>
    <w:rsid w:val="009B1DFD"/>
    <w:rsid w:val="00A24C58"/>
    <w:rsid w:val="00A33410"/>
    <w:rsid w:val="00A95920"/>
    <w:rsid w:val="00C140AE"/>
    <w:rsid w:val="00C153E8"/>
    <w:rsid w:val="00C26BB4"/>
    <w:rsid w:val="00CB3832"/>
    <w:rsid w:val="00CC0872"/>
    <w:rsid w:val="00E3733B"/>
    <w:rsid w:val="00E53AD0"/>
    <w:rsid w:val="00EA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388E"/>
    <w:rPr>
      <w:rFonts w:ascii="Tahoma" w:hAnsi="Tahoma" w:cs="Tahoma"/>
      <w:sz w:val="16"/>
      <w:szCs w:val="16"/>
    </w:rPr>
  </w:style>
  <w:style w:type="character" w:customStyle="1" w:styleId="a6">
    <w:name w:val="Текст выноски Знак"/>
    <w:basedOn w:val="a0"/>
    <w:link w:val="a5"/>
    <w:uiPriority w:val="99"/>
    <w:semiHidden/>
    <w:rsid w:val="003538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388E"/>
    <w:rPr>
      <w:rFonts w:ascii="Tahoma" w:hAnsi="Tahoma" w:cs="Tahoma"/>
      <w:sz w:val="16"/>
      <w:szCs w:val="16"/>
    </w:rPr>
  </w:style>
  <w:style w:type="character" w:customStyle="1" w:styleId="a6">
    <w:name w:val="Текст выноски Знак"/>
    <w:basedOn w:val="a0"/>
    <w:link w:val="a5"/>
    <w:uiPriority w:val="99"/>
    <w:semiHidden/>
    <w:rsid w:val="003538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prozorro.gov.ua/tender/UA-2021-07-23-00653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T.Rybalko</cp:lastModifiedBy>
  <cp:revision>16</cp:revision>
  <cp:lastPrinted>2021-02-04T10:00:00Z</cp:lastPrinted>
  <dcterms:created xsi:type="dcterms:W3CDTF">2021-02-19T12:33:00Z</dcterms:created>
  <dcterms:modified xsi:type="dcterms:W3CDTF">2021-07-23T12:27:00Z</dcterms:modified>
</cp:coreProperties>
</file>